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084F9641" w14:textId="66A2375A" w:rsidR="004C6580" w:rsidRDefault="004C6580" w:rsidP="004C6580">
      <w:pPr>
        <w:spacing w:line="360" w:lineRule="auto"/>
        <w:ind w:firstLine="142"/>
        <w:jc w:val="center"/>
        <w:rPr>
          <w:rFonts w:cs="Knowledge-Bold"/>
          <w:b/>
          <w:bCs/>
          <w:sz w:val="40"/>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320853F9" w:rsidR="00B10E69" w:rsidRDefault="00964DE4" w:rsidP="00B10E69">
      <w:pPr>
        <w:ind w:firstLine="142"/>
        <w:jc w:val="center"/>
        <w:rPr>
          <w:rFonts w:cs="Knowledge-Bold"/>
          <w:b/>
          <w:bCs/>
          <w:sz w:val="26"/>
          <w:szCs w:val="40"/>
        </w:rPr>
      </w:pPr>
      <w:r>
        <w:rPr>
          <w:rFonts w:cs="Knowledge-Bold"/>
          <w:b/>
          <w:bCs/>
          <w:sz w:val="26"/>
          <w:szCs w:val="40"/>
        </w:rPr>
        <w:t>Sommet de la rentrée</w:t>
      </w:r>
      <w:r w:rsidR="00087A05">
        <w:rPr>
          <w:rFonts w:cs="Knowledge-Bold"/>
          <w:b/>
          <w:bCs/>
          <w:sz w:val="26"/>
          <w:szCs w:val="40"/>
        </w:rPr>
        <w:t xml:space="preserve"> </w:t>
      </w:r>
      <w:r w:rsidR="00B10E69">
        <w:rPr>
          <w:rFonts w:cs="Knowledge-Bold"/>
          <w:b/>
          <w:bCs/>
          <w:sz w:val="26"/>
          <w:szCs w:val="40"/>
        </w:rPr>
        <w:t xml:space="preserve">– </w:t>
      </w:r>
      <w:r>
        <w:rPr>
          <w:rFonts w:cs="Knowledge-Bold"/>
          <w:b/>
          <w:bCs/>
          <w:sz w:val="26"/>
          <w:szCs w:val="40"/>
        </w:rPr>
        <w:t>30 septembre</w:t>
      </w:r>
      <w:r w:rsidR="00B10E69">
        <w:rPr>
          <w:rFonts w:cs="Knowledge-Bold"/>
          <w:b/>
          <w:bCs/>
          <w:sz w:val="26"/>
          <w:szCs w:val="40"/>
        </w:rPr>
        <w:t xml:space="preserve"> 2019</w:t>
      </w:r>
    </w:p>
    <w:p w14:paraId="33961447" w14:textId="2FF52B21" w:rsidR="004C6580" w:rsidRPr="0018006A" w:rsidRDefault="004C6580" w:rsidP="00C11C7B">
      <w:pPr>
        <w:ind w:firstLine="142"/>
        <w:jc w:val="center"/>
        <w:rPr>
          <w:rFonts w:cs="Knowledge-Bold"/>
          <w:b/>
          <w:bCs/>
          <w:sz w:val="16"/>
          <w:szCs w:val="16"/>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62939C1D" w:rsidR="00C11C7B" w:rsidRPr="00684184" w:rsidRDefault="00C11C7B" w:rsidP="00CA2B02">
            <w:pPr>
              <w:spacing w:before="40"/>
              <w:rPr>
                <w:color w:val="FFFFFF" w:themeColor="background1"/>
                <w:sz w:val="17"/>
                <w:szCs w:val="17"/>
              </w:rPr>
            </w:pPr>
            <w:r>
              <w:rPr>
                <w:color w:val="FFFFFF"/>
                <w:sz w:val="17"/>
                <w:szCs w:val="17"/>
              </w:rPr>
              <w:t xml:space="preserve">Jusqu’au </w:t>
            </w:r>
            <w:r w:rsidR="00CA2B02">
              <w:rPr>
                <w:color w:val="FFFFFF"/>
                <w:sz w:val="17"/>
                <w:szCs w:val="17"/>
              </w:rPr>
              <w:t>16 septembre</w:t>
            </w:r>
          </w:p>
        </w:tc>
        <w:tc>
          <w:tcPr>
            <w:tcW w:w="1158" w:type="dxa"/>
            <w:shd w:val="clear" w:color="auto" w:fill="99B8BA"/>
          </w:tcPr>
          <w:p w14:paraId="4C217F97" w14:textId="36DFF2BA" w:rsidR="00C11C7B" w:rsidRPr="00684184" w:rsidRDefault="00C11C7B" w:rsidP="00CA2B02">
            <w:pPr>
              <w:spacing w:before="40"/>
              <w:rPr>
                <w:color w:val="FFFFFF" w:themeColor="background1"/>
                <w:sz w:val="17"/>
                <w:szCs w:val="17"/>
              </w:rPr>
            </w:pPr>
            <w:r>
              <w:rPr>
                <w:color w:val="FFFFFF"/>
                <w:sz w:val="17"/>
                <w:szCs w:val="17"/>
              </w:rPr>
              <w:t xml:space="preserve">À partir du </w:t>
            </w:r>
            <w:r w:rsidR="00CA2B02">
              <w:rPr>
                <w:color w:val="FFFFFF"/>
                <w:sz w:val="17"/>
                <w:szCs w:val="17"/>
              </w:rPr>
              <w:t>17 septembre</w:t>
            </w:r>
          </w:p>
        </w:tc>
        <w:tc>
          <w:tcPr>
            <w:tcW w:w="1159" w:type="dxa"/>
            <w:shd w:val="clear" w:color="auto" w:fill="99B8BA"/>
            <w:noWrap/>
          </w:tcPr>
          <w:p w14:paraId="3C28A317" w14:textId="6C28B517" w:rsidR="00C11C7B" w:rsidRPr="00684184" w:rsidRDefault="00C11C7B" w:rsidP="00CA2B02">
            <w:pPr>
              <w:spacing w:before="40"/>
              <w:rPr>
                <w:b/>
                <w:color w:val="FFFFFF" w:themeColor="background1"/>
                <w:sz w:val="17"/>
                <w:szCs w:val="17"/>
              </w:rPr>
            </w:pPr>
            <w:r>
              <w:rPr>
                <w:color w:val="FFFFFF"/>
                <w:sz w:val="17"/>
                <w:szCs w:val="17"/>
              </w:rPr>
              <w:t xml:space="preserve">Jusqu’au </w:t>
            </w:r>
            <w:r w:rsidR="00CA2B02">
              <w:rPr>
                <w:color w:val="FFFFFF"/>
                <w:sz w:val="17"/>
                <w:szCs w:val="17"/>
              </w:rPr>
              <w:t>16 septembre</w:t>
            </w:r>
          </w:p>
        </w:tc>
        <w:tc>
          <w:tcPr>
            <w:tcW w:w="1159" w:type="dxa"/>
            <w:shd w:val="clear" w:color="auto" w:fill="99B8BA"/>
          </w:tcPr>
          <w:p w14:paraId="7E057E05" w14:textId="494B117C" w:rsidR="00C11C7B" w:rsidRPr="00684184" w:rsidRDefault="00C11C7B" w:rsidP="00CA2B02">
            <w:pPr>
              <w:spacing w:before="40"/>
              <w:rPr>
                <w:b/>
                <w:color w:val="FFFFFF" w:themeColor="background1"/>
                <w:sz w:val="17"/>
                <w:szCs w:val="17"/>
              </w:rPr>
            </w:pPr>
            <w:r>
              <w:rPr>
                <w:color w:val="FFFFFF"/>
                <w:sz w:val="17"/>
                <w:szCs w:val="17"/>
              </w:rPr>
              <w:t xml:space="preserve">À partir du </w:t>
            </w:r>
            <w:r w:rsidR="00CA2B02">
              <w:rPr>
                <w:color w:val="FFFFFF"/>
                <w:sz w:val="17"/>
                <w:szCs w:val="17"/>
              </w:rPr>
              <w:t>17 septembre</w:t>
            </w:r>
          </w:p>
        </w:tc>
        <w:tc>
          <w:tcPr>
            <w:tcW w:w="1159" w:type="dxa"/>
            <w:shd w:val="clear" w:color="auto" w:fill="99B8BA"/>
          </w:tcPr>
          <w:p w14:paraId="33C08FC3" w14:textId="713AD516" w:rsidR="00BC3461" w:rsidRPr="00BC3461" w:rsidRDefault="00C11C7B" w:rsidP="00BC3461">
            <w:pPr>
              <w:spacing w:before="40"/>
              <w:rPr>
                <w:color w:val="FFFFFF"/>
                <w:sz w:val="17"/>
                <w:szCs w:val="17"/>
              </w:rPr>
            </w:pPr>
            <w:r>
              <w:rPr>
                <w:color w:val="FFFFFF"/>
                <w:sz w:val="17"/>
                <w:szCs w:val="17"/>
              </w:rPr>
              <w:t xml:space="preserve">Jusqu’au </w:t>
            </w:r>
            <w:r w:rsidR="00BC3461">
              <w:rPr>
                <w:color w:val="FFFFFF"/>
                <w:sz w:val="17"/>
                <w:szCs w:val="17"/>
              </w:rPr>
              <w:t>16 septembre</w:t>
            </w:r>
          </w:p>
        </w:tc>
        <w:tc>
          <w:tcPr>
            <w:tcW w:w="1159" w:type="dxa"/>
            <w:shd w:val="clear" w:color="auto" w:fill="99B8BA"/>
          </w:tcPr>
          <w:p w14:paraId="7D57EEBF" w14:textId="00D4F8A7" w:rsidR="00C11C7B" w:rsidRPr="00684184" w:rsidRDefault="00C11C7B" w:rsidP="00BC3461">
            <w:pPr>
              <w:spacing w:before="40"/>
              <w:rPr>
                <w:color w:val="FFFFFF" w:themeColor="background1"/>
                <w:sz w:val="17"/>
                <w:szCs w:val="17"/>
              </w:rPr>
            </w:pPr>
            <w:r>
              <w:rPr>
                <w:color w:val="FFFFFF"/>
                <w:sz w:val="17"/>
                <w:szCs w:val="17"/>
              </w:rPr>
              <w:t xml:space="preserve">À partir du </w:t>
            </w:r>
            <w:r w:rsidR="00BC3461">
              <w:rPr>
                <w:color w:val="FFFFFF"/>
                <w:sz w:val="17"/>
                <w:szCs w:val="17"/>
              </w:rPr>
              <w:t>17 septembre</w:t>
            </w:r>
          </w:p>
        </w:tc>
        <w:tc>
          <w:tcPr>
            <w:tcW w:w="1159" w:type="dxa"/>
            <w:shd w:val="clear" w:color="auto" w:fill="99B8BA"/>
          </w:tcPr>
          <w:p w14:paraId="316F1D75" w14:textId="1DA75D4E" w:rsidR="00C11C7B" w:rsidRPr="00684184" w:rsidRDefault="00C11C7B" w:rsidP="00BC3461">
            <w:pPr>
              <w:spacing w:before="40"/>
              <w:rPr>
                <w:color w:val="FFFFFF" w:themeColor="background1"/>
                <w:sz w:val="17"/>
                <w:szCs w:val="17"/>
              </w:rPr>
            </w:pPr>
            <w:r>
              <w:rPr>
                <w:color w:val="FFFFFF"/>
                <w:sz w:val="17"/>
                <w:szCs w:val="17"/>
              </w:rPr>
              <w:t xml:space="preserve">Jusqu’au </w:t>
            </w:r>
            <w:r w:rsidR="00BC3461">
              <w:rPr>
                <w:color w:val="FFFFFF"/>
                <w:sz w:val="17"/>
                <w:szCs w:val="17"/>
              </w:rPr>
              <w:t>16 septembre</w:t>
            </w:r>
          </w:p>
        </w:tc>
        <w:tc>
          <w:tcPr>
            <w:tcW w:w="1159" w:type="dxa"/>
            <w:shd w:val="clear" w:color="auto" w:fill="99B8BA"/>
          </w:tcPr>
          <w:p w14:paraId="0EC9E5F4" w14:textId="74887504" w:rsidR="00C11C7B" w:rsidRPr="00684184" w:rsidRDefault="00C11C7B" w:rsidP="00BC3461">
            <w:pPr>
              <w:spacing w:before="40"/>
              <w:rPr>
                <w:color w:val="FFFFFF" w:themeColor="background1"/>
                <w:sz w:val="17"/>
                <w:szCs w:val="17"/>
              </w:rPr>
            </w:pPr>
            <w:r>
              <w:rPr>
                <w:color w:val="FFFFFF"/>
                <w:sz w:val="17"/>
                <w:szCs w:val="17"/>
              </w:rPr>
              <w:t xml:space="preserve">À partir du </w:t>
            </w:r>
            <w:r w:rsidR="00BC3461">
              <w:rPr>
                <w:color w:val="FFFFFF"/>
                <w:sz w:val="17"/>
                <w:szCs w:val="17"/>
              </w:rPr>
              <w:t>17 septembre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13943935" w:rsidR="00C11C7B" w:rsidRPr="00684184" w:rsidRDefault="00C11C7B" w:rsidP="00BC3461">
            <w:pPr>
              <w:spacing w:before="40"/>
              <w:rPr>
                <w:color w:val="FFFFFF" w:themeColor="background1"/>
                <w:sz w:val="17"/>
                <w:szCs w:val="17"/>
              </w:rPr>
            </w:pPr>
            <w:r>
              <w:rPr>
                <w:color w:val="FFFFFF"/>
                <w:sz w:val="17"/>
                <w:szCs w:val="17"/>
              </w:rPr>
              <w:t xml:space="preserve">Jusqu’au </w:t>
            </w:r>
            <w:r w:rsidR="00BC3461">
              <w:rPr>
                <w:color w:val="FFFFFF"/>
                <w:sz w:val="17"/>
                <w:szCs w:val="17"/>
              </w:rPr>
              <w:t>16 septembre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57D491C1" w:rsidR="00C11C7B" w:rsidRPr="00684184" w:rsidRDefault="00C11C7B" w:rsidP="00BC3461">
            <w:pPr>
              <w:spacing w:before="40"/>
              <w:rPr>
                <w:color w:val="FFFFFF" w:themeColor="background1"/>
                <w:sz w:val="17"/>
                <w:szCs w:val="17"/>
              </w:rPr>
            </w:pPr>
            <w:r>
              <w:rPr>
                <w:color w:val="FFFFFF"/>
                <w:sz w:val="17"/>
                <w:szCs w:val="17"/>
              </w:rPr>
              <w:t xml:space="preserve">À partir du </w:t>
            </w:r>
            <w:r w:rsidR="00BC3461">
              <w:rPr>
                <w:color w:val="FFFFFF"/>
                <w:sz w:val="17"/>
                <w:szCs w:val="17"/>
              </w:rPr>
              <w:t>17 septembre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bookmarkStart w:id="0" w:name="_GoBack"/>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bookmarkEnd w:id="0"/>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AE39A0">
              <w:rPr>
                <w:rFonts w:ascii="Arial" w:hAnsi="Arial" w:cs="Arial"/>
                <w:sz w:val="15"/>
                <w:szCs w:val="15"/>
              </w:rPr>
            </w:r>
            <w:r w:rsidR="00AE39A0">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7638E3DD"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proofErr w:type="gramStart"/>
      <w:r w:rsidRPr="0041099B">
        <w:rPr>
          <w:rFonts w:cs="Knowledge-Bold"/>
          <w:bCs/>
          <w:i/>
          <w:sz w:val="16"/>
          <w:szCs w:val="24"/>
        </w:rPr>
        <w:t>.(</w:t>
      </w:r>
      <w:proofErr w:type="gramEnd"/>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lastRenderedPageBreak/>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AE39A0">
              <w:rPr>
                <w:sz w:val="18"/>
                <w:szCs w:val="18"/>
                <w:lang w:val="fr-FR"/>
              </w:rPr>
            </w:r>
            <w:r w:rsidR="00AE39A0">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AE39A0">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AE39A0">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AE39A0">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85A5" w14:textId="77777777" w:rsidR="00AE39A0" w:rsidRDefault="00AE39A0" w:rsidP="00F56C29">
      <w:r>
        <w:separator/>
      </w:r>
    </w:p>
  </w:endnote>
  <w:endnote w:type="continuationSeparator" w:id="0">
    <w:p w14:paraId="7B2836C0" w14:textId="77777777" w:rsidR="00AE39A0" w:rsidRDefault="00AE39A0"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4AE" w14:textId="77777777" w:rsidR="00AE39A0" w:rsidRDefault="00AE39A0" w:rsidP="00F56C29">
      <w:r>
        <w:separator/>
      </w:r>
    </w:p>
  </w:footnote>
  <w:footnote w:type="continuationSeparator" w:id="0">
    <w:p w14:paraId="0C21EF09" w14:textId="77777777" w:rsidR="00AE39A0" w:rsidRDefault="00AE39A0"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documentProtection w:edit="forms" w:formatting="1" w:enforcement="1" w:cryptProviderType="rsaFull" w:cryptAlgorithmClass="hash" w:cryptAlgorithmType="typeAny" w:cryptAlgorithmSid="4" w:cryptSpinCount="100000" w:hash="7P1m2VIJQIAobQtWI4/zMzUvwYM=" w:salt="GGfUJ4iGY12ie5vYBzihVA=="/>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55D"/>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42FE"/>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9690-949A-443E-BDDD-409E014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3</cp:revision>
  <dcterms:created xsi:type="dcterms:W3CDTF">2019-09-09T16:05:00Z</dcterms:created>
  <dcterms:modified xsi:type="dcterms:W3CDTF">2019-09-09T16:05:00Z</dcterms:modified>
</cp:coreProperties>
</file>