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5A2968">
      <w:pPr>
        <w:ind w:firstLine="142"/>
        <w:jc w:val="center"/>
        <w:rPr>
          <w:rFonts w:cs="Knowledge-Bold"/>
          <w:b/>
          <w:bCs/>
          <w:sz w:val="40"/>
          <w:szCs w:val="40"/>
        </w:rPr>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69C2EB1C" w14:textId="32A42421" w:rsidR="00C11C7B" w:rsidRPr="005762F6" w:rsidRDefault="00C30827" w:rsidP="00C11C7B">
      <w:pPr>
        <w:ind w:firstLine="142"/>
        <w:jc w:val="center"/>
        <w:rPr>
          <w:rFonts w:cs="Knowledge-Bold"/>
          <w:b/>
          <w:bCs/>
          <w:sz w:val="26"/>
          <w:szCs w:val="40"/>
        </w:rPr>
      </w:pPr>
      <w:r w:rsidRPr="00C30827">
        <w:rPr>
          <w:rFonts w:cs="Knowledge-Bold"/>
          <w:b/>
          <w:bCs/>
          <w:sz w:val="26"/>
          <w:szCs w:val="40"/>
        </w:rPr>
        <w:t>Colloque Partage de la rue : la sécurité avant tout!</w:t>
      </w:r>
      <w:r>
        <w:rPr>
          <w:rFonts w:cs="Knowledge-Bold"/>
          <w:b/>
          <w:bCs/>
          <w:sz w:val="26"/>
          <w:szCs w:val="40"/>
        </w:rPr>
        <w:t xml:space="preserve"> </w:t>
      </w:r>
      <w:r w:rsidR="00C11C7B" w:rsidRPr="005762F6">
        <w:rPr>
          <w:rFonts w:cs="Knowledge-Bold"/>
          <w:b/>
          <w:bCs/>
          <w:sz w:val="26"/>
          <w:szCs w:val="40"/>
        </w:rPr>
        <w:t xml:space="preserve">– </w:t>
      </w:r>
      <w:r>
        <w:rPr>
          <w:rFonts w:cs="Knowledge-Bold"/>
          <w:b/>
          <w:bCs/>
          <w:sz w:val="26"/>
          <w:szCs w:val="40"/>
        </w:rPr>
        <w:t>15</w:t>
      </w:r>
      <w:r w:rsidR="005A2968" w:rsidRPr="005762F6">
        <w:rPr>
          <w:rFonts w:cs="Knowledge-Bold"/>
          <w:b/>
          <w:bCs/>
          <w:sz w:val="26"/>
          <w:szCs w:val="40"/>
        </w:rPr>
        <w:t xml:space="preserve"> </w:t>
      </w:r>
      <w:r w:rsidR="00283513">
        <w:rPr>
          <w:rFonts w:cs="Knowledge-Bold"/>
          <w:b/>
          <w:bCs/>
          <w:sz w:val="26"/>
          <w:szCs w:val="40"/>
        </w:rPr>
        <w:t>novem</w:t>
      </w:r>
      <w:r w:rsidR="005A2968" w:rsidRPr="005762F6">
        <w:rPr>
          <w:rFonts w:cs="Knowledge-Bold"/>
          <w:b/>
          <w:bCs/>
          <w:sz w:val="26"/>
          <w:szCs w:val="40"/>
        </w:rPr>
        <w:t>bre</w:t>
      </w:r>
      <w:r w:rsidR="00C11C7B" w:rsidRPr="005762F6">
        <w:rPr>
          <w:rFonts w:cs="Knowledge-Bold"/>
          <w:b/>
          <w:bCs/>
          <w:sz w:val="26"/>
          <w:szCs w:val="40"/>
        </w:rPr>
        <w:t xml:space="preserve"> 2018</w:t>
      </w:r>
    </w:p>
    <w:p w14:paraId="33961447" w14:textId="2FF52B21" w:rsidR="004C6580" w:rsidRPr="005762F6" w:rsidRDefault="004C6580" w:rsidP="00C11C7B">
      <w:pPr>
        <w:ind w:firstLine="142"/>
        <w:jc w:val="center"/>
        <w:rPr>
          <w:rFonts w:cs="Knowledge-Bold"/>
          <w:b/>
          <w:bCs/>
          <w:sz w:val="34"/>
          <w:szCs w:val="40"/>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25167D78" w:rsidR="00C11C7B" w:rsidRPr="00684184" w:rsidRDefault="00C11C7B" w:rsidP="00574551">
            <w:pPr>
              <w:spacing w:before="40"/>
              <w:rPr>
                <w:color w:val="FFFFFF" w:themeColor="background1"/>
                <w:sz w:val="17"/>
                <w:szCs w:val="17"/>
              </w:rPr>
            </w:pPr>
            <w:r>
              <w:rPr>
                <w:color w:val="FFFFFF"/>
                <w:sz w:val="17"/>
                <w:szCs w:val="17"/>
              </w:rPr>
              <w:t xml:space="preserve">Jusqu’au </w:t>
            </w:r>
            <w:r w:rsidR="00574551">
              <w:rPr>
                <w:color w:val="FFFFFF"/>
                <w:sz w:val="17"/>
                <w:szCs w:val="17"/>
              </w:rPr>
              <w:t>1 novembre</w:t>
            </w:r>
          </w:p>
        </w:tc>
        <w:tc>
          <w:tcPr>
            <w:tcW w:w="1158" w:type="dxa"/>
            <w:shd w:val="clear" w:color="auto" w:fill="99B8BA"/>
          </w:tcPr>
          <w:p w14:paraId="4C217F97" w14:textId="3504276A" w:rsidR="00C11C7B" w:rsidRPr="00684184" w:rsidRDefault="00C11C7B" w:rsidP="00574551">
            <w:pPr>
              <w:spacing w:before="40"/>
              <w:rPr>
                <w:color w:val="FFFFFF" w:themeColor="background1"/>
                <w:sz w:val="17"/>
                <w:szCs w:val="17"/>
              </w:rPr>
            </w:pPr>
            <w:r>
              <w:rPr>
                <w:color w:val="FFFFFF"/>
                <w:sz w:val="17"/>
                <w:szCs w:val="17"/>
              </w:rPr>
              <w:t xml:space="preserve">À partir du </w:t>
            </w:r>
            <w:r w:rsidR="00574551">
              <w:rPr>
                <w:color w:val="FFFFFF"/>
                <w:sz w:val="17"/>
                <w:szCs w:val="17"/>
              </w:rPr>
              <w:t>2 novembre</w:t>
            </w:r>
          </w:p>
        </w:tc>
        <w:tc>
          <w:tcPr>
            <w:tcW w:w="1159" w:type="dxa"/>
            <w:shd w:val="clear" w:color="auto" w:fill="99B8BA"/>
            <w:noWrap/>
          </w:tcPr>
          <w:p w14:paraId="3C28A317" w14:textId="69ED703E" w:rsidR="00C11C7B" w:rsidRPr="00684184" w:rsidRDefault="00574551" w:rsidP="00FE58DD">
            <w:pPr>
              <w:spacing w:before="40"/>
              <w:rPr>
                <w:b/>
                <w:color w:val="FFFFFF" w:themeColor="background1"/>
                <w:sz w:val="17"/>
                <w:szCs w:val="17"/>
              </w:rPr>
            </w:pPr>
            <w:r>
              <w:rPr>
                <w:color w:val="FFFFFF"/>
                <w:sz w:val="17"/>
                <w:szCs w:val="17"/>
              </w:rPr>
              <w:t>Jusqu’au 1 novembre</w:t>
            </w:r>
          </w:p>
        </w:tc>
        <w:tc>
          <w:tcPr>
            <w:tcW w:w="1159" w:type="dxa"/>
            <w:shd w:val="clear" w:color="auto" w:fill="99B8BA"/>
          </w:tcPr>
          <w:p w14:paraId="7E057E05" w14:textId="3DC4DABC" w:rsidR="00C11C7B" w:rsidRPr="00684184" w:rsidRDefault="00574551" w:rsidP="00FE58DD">
            <w:pPr>
              <w:spacing w:before="40"/>
              <w:rPr>
                <w:b/>
                <w:color w:val="FFFFFF" w:themeColor="background1"/>
                <w:sz w:val="17"/>
                <w:szCs w:val="17"/>
              </w:rPr>
            </w:pPr>
            <w:r>
              <w:rPr>
                <w:color w:val="FFFFFF"/>
                <w:sz w:val="17"/>
                <w:szCs w:val="17"/>
              </w:rPr>
              <w:t>À partir du 2 novembre</w:t>
            </w:r>
          </w:p>
        </w:tc>
        <w:tc>
          <w:tcPr>
            <w:tcW w:w="1159" w:type="dxa"/>
            <w:shd w:val="clear" w:color="auto" w:fill="99B8BA"/>
          </w:tcPr>
          <w:p w14:paraId="33C08FC3" w14:textId="45388753" w:rsidR="00C11C7B" w:rsidRPr="00684184" w:rsidRDefault="00574551" w:rsidP="00FE58DD">
            <w:pPr>
              <w:spacing w:before="40"/>
              <w:rPr>
                <w:b/>
                <w:color w:val="FFFFFF" w:themeColor="background1"/>
                <w:sz w:val="17"/>
                <w:szCs w:val="17"/>
              </w:rPr>
            </w:pPr>
            <w:r>
              <w:rPr>
                <w:color w:val="FFFFFF"/>
                <w:sz w:val="17"/>
                <w:szCs w:val="17"/>
              </w:rPr>
              <w:t>Jusqu’au 1 novembre</w:t>
            </w:r>
          </w:p>
        </w:tc>
        <w:tc>
          <w:tcPr>
            <w:tcW w:w="1159" w:type="dxa"/>
            <w:shd w:val="clear" w:color="auto" w:fill="99B8BA"/>
          </w:tcPr>
          <w:p w14:paraId="7D57EEBF" w14:textId="0A362A33" w:rsidR="00C11C7B" w:rsidRPr="00684184" w:rsidRDefault="00574551" w:rsidP="00FE58DD">
            <w:pPr>
              <w:spacing w:before="40"/>
              <w:rPr>
                <w:color w:val="FFFFFF" w:themeColor="background1"/>
                <w:sz w:val="17"/>
                <w:szCs w:val="17"/>
              </w:rPr>
            </w:pPr>
            <w:r>
              <w:rPr>
                <w:color w:val="FFFFFF"/>
                <w:sz w:val="17"/>
                <w:szCs w:val="17"/>
              </w:rPr>
              <w:t>À partir du 2 novembre</w:t>
            </w:r>
          </w:p>
        </w:tc>
        <w:tc>
          <w:tcPr>
            <w:tcW w:w="1159" w:type="dxa"/>
            <w:shd w:val="clear" w:color="auto" w:fill="99B8BA"/>
          </w:tcPr>
          <w:p w14:paraId="316F1D75" w14:textId="020908AA" w:rsidR="00C11C7B" w:rsidRPr="00684184" w:rsidRDefault="00574551" w:rsidP="00FE58DD">
            <w:pPr>
              <w:spacing w:before="40"/>
              <w:rPr>
                <w:color w:val="FFFFFF" w:themeColor="background1"/>
                <w:sz w:val="17"/>
                <w:szCs w:val="17"/>
              </w:rPr>
            </w:pPr>
            <w:r>
              <w:rPr>
                <w:color w:val="FFFFFF"/>
                <w:sz w:val="17"/>
                <w:szCs w:val="17"/>
              </w:rPr>
              <w:t>Jusqu’au 1 novembre</w:t>
            </w:r>
          </w:p>
        </w:tc>
        <w:tc>
          <w:tcPr>
            <w:tcW w:w="1159" w:type="dxa"/>
            <w:shd w:val="clear" w:color="auto" w:fill="99B8BA"/>
          </w:tcPr>
          <w:p w14:paraId="0EC9E5F4" w14:textId="50DE4972" w:rsidR="00C11C7B" w:rsidRPr="00684184" w:rsidRDefault="00574551" w:rsidP="00FE58DD">
            <w:pPr>
              <w:spacing w:before="40"/>
              <w:rPr>
                <w:color w:val="FFFFFF" w:themeColor="background1"/>
                <w:sz w:val="17"/>
                <w:szCs w:val="17"/>
              </w:rPr>
            </w:pPr>
            <w:r>
              <w:rPr>
                <w:color w:val="FFFFFF"/>
                <w:sz w:val="17"/>
                <w:szCs w:val="17"/>
              </w:rPr>
              <w:t>À partir du 2 novembre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6008C04E" w:rsidR="00C11C7B" w:rsidRPr="00684184" w:rsidRDefault="00574551" w:rsidP="00FE58DD">
            <w:pPr>
              <w:spacing w:before="40"/>
              <w:rPr>
                <w:color w:val="FFFFFF" w:themeColor="background1"/>
                <w:sz w:val="17"/>
                <w:szCs w:val="17"/>
              </w:rPr>
            </w:pPr>
            <w:r>
              <w:rPr>
                <w:color w:val="FFFFFF"/>
                <w:sz w:val="17"/>
                <w:szCs w:val="17"/>
              </w:rPr>
              <w:t>Jusqu’au 1 novembre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7763F8B7" w:rsidR="00C11C7B" w:rsidRPr="00684184" w:rsidRDefault="00574551" w:rsidP="00FE58DD">
            <w:pPr>
              <w:spacing w:before="40"/>
              <w:rPr>
                <w:color w:val="FFFFFF" w:themeColor="background1"/>
                <w:sz w:val="17"/>
                <w:szCs w:val="17"/>
              </w:rPr>
            </w:pPr>
            <w:r>
              <w:rPr>
                <w:color w:val="FFFFFF"/>
                <w:sz w:val="17"/>
                <w:szCs w:val="17"/>
              </w:rPr>
              <w:t>À partir du 2 novembre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256E5B" w:rsidRPr="006E6133" w:rsidRDefault="00256E5B" w:rsidP="00C11C7B">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6E00DD8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bookmarkEnd w:id="0"/>
            <w:r w:rsidR="00480069">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127,50</w:t>
            </w:r>
            <w:r w:rsidRPr="006B1EA8">
              <w:rPr>
                <w:rFonts w:ascii="Arial" w:hAnsi="Arial" w:cs="Arial"/>
                <w:sz w:val="15"/>
                <w:szCs w:val="15"/>
              </w:rPr>
              <w:t xml:space="preserve"> $</w:t>
            </w:r>
          </w:p>
        </w:tc>
        <w:tc>
          <w:tcPr>
            <w:tcW w:w="1158" w:type="dxa"/>
          </w:tcPr>
          <w:p w14:paraId="7F2CE60A" w14:textId="1B9D1DA9"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252,50</w:t>
            </w:r>
            <w:r w:rsidR="00541DF5">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1EFB3CD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6C16D4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1 56</w:t>
            </w:r>
            <w:r w:rsidR="005A2968">
              <w:rPr>
                <w:rFonts w:ascii="Arial" w:hAnsi="Arial" w:cs="Arial"/>
                <w:sz w:val="15"/>
                <w:szCs w:val="15"/>
              </w:rPr>
              <w:t>5</w:t>
            </w:r>
            <w:r w:rsidR="006611F5">
              <w:rPr>
                <w:rFonts w:ascii="Arial" w:hAnsi="Arial" w:cs="Arial"/>
                <w:sz w:val="15"/>
                <w:szCs w:val="15"/>
              </w:rPr>
              <w:t>,</w:t>
            </w:r>
            <w:r w:rsidR="005A2968">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76DDC02"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w:t>
            </w:r>
            <w:r w:rsidR="005A2968">
              <w:rPr>
                <w:rFonts w:ascii="Arial" w:hAnsi="Arial" w:cs="Arial"/>
                <w:sz w:val="15"/>
                <w:szCs w:val="15"/>
              </w:rPr>
              <w:t>198</w:t>
            </w:r>
            <w:r w:rsidRPr="006B1EA8">
              <w:rPr>
                <w:rFonts w:ascii="Arial" w:hAnsi="Arial" w:cs="Arial"/>
                <w:sz w:val="15"/>
                <w:szCs w:val="15"/>
              </w:rPr>
              <w:t xml:space="preserve"> $</w:t>
            </w:r>
          </w:p>
        </w:tc>
        <w:tc>
          <w:tcPr>
            <w:tcW w:w="1159" w:type="dxa"/>
          </w:tcPr>
          <w:p w14:paraId="230018F1" w14:textId="0048A2F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w:t>
            </w:r>
            <w:r w:rsidR="005A2968">
              <w:rPr>
                <w:rFonts w:ascii="Arial" w:hAnsi="Arial" w:cs="Arial"/>
                <w:sz w:val="15"/>
                <w:szCs w:val="15"/>
              </w:rPr>
              <w:t> </w:t>
            </w:r>
            <w:r w:rsidR="00E53700">
              <w:rPr>
                <w:rFonts w:ascii="Arial" w:hAnsi="Arial" w:cs="Arial"/>
                <w:sz w:val="15"/>
                <w:szCs w:val="15"/>
              </w:rPr>
              <w:t>33</w:t>
            </w:r>
            <w:r w:rsidR="005A2968">
              <w:rPr>
                <w:rFonts w:ascii="Arial" w:hAnsi="Arial" w:cs="Arial"/>
                <w:sz w:val="15"/>
                <w:szCs w:val="15"/>
              </w:rPr>
              <w:t xml:space="preserve">1 </w:t>
            </w:r>
            <w:r w:rsidRPr="006B1EA8">
              <w:rPr>
                <w:rFonts w:ascii="Arial" w:hAnsi="Arial" w:cs="Arial"/>
                <w:sz w:val="15"/>
                <w:szCs w:val="15"/>
              </w:rPr>
              <w:t>$</w:t>
            </w:r>
          </w:p>
        </w:tc>
        <w:tc>
          <w:tcPr>
            <w:tcW w:w="1159" w:type="dxa"/>
          </w:tcPr>
          <w:p w14:paraId="53781E38" w14:textId="1E108174"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98</w:t>
            </w:r>
            <w:r w:rsidR="005A2968">
              <w:rPr>
                <w:rFonts w:ascii="Arial" w:hAnsi="Arial" w:cs="Arial"/>
                <w:sz w:val="15"/>
                <w:szCs w:val="15"/>
              </w:rPr>
              <w:t>6,5</w:t>
            </w:r>
            <w:r w:rsidR="00E53700">
              <w:rPr>
                <w:rFonts w:ascii="Arial" w:hAnsi="Arial" w:cs="Arial"/>
                <w:sz w:val="15"/>
                <w:szCs w:val="15"/>
              </w:rPr>
              <w:t>0</w:t>
            </w:r>
            <w:r w:rsidR="00692214">
              <w:rPr>
                <w:rFonts w:ascii="Arial" w:hAnsi="Arial" w:cs="Arial"/>
                <w:sz w:val="15"/>
                <w:szCs w:val="15"/>
              </w:rPr>
              <w:t xml:space="preserve"> </w:t>
            </w:r>
            <w:r w:rsidRPr="006B1EA8">
              <w:rPr>
                <w:rFonts w:ascii="Arial" w:hAnsi="Arial" w:cs="Arial"/>
                <w:sz w:val="15"/>
                <w:szCs w:val="15"/>
              </w:rPr>
              <w:t>$</w:t>
            </w:r>
          </w:p>
        </w:tc>
        <w:tc>
          <w:tcPr>
            <w:tcW w:w="1159" w:type="dxa"/>
          </w:tcPr>
          <w:p w14:paraId="422C1B31" w14:textId="779B8F7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1 09</w:t>
            </w:r>
            <w:r w:rsidR="005A2968">
              <w:rPr>
                <w:rFonts w:ascii="Arial" w:hAnsi="Arial" w:cs="Arial"/>
                <w:sz w:val="15"/>
                <w:szCs w:val="15"/>
              </w:rPr>
              <w:t>6</w:t>
            </w:r>
            <w:r w:rsidR="00692214">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2DCEB885" w:rsidR="00256E5B" w:rsidRPr="006B1EA8" w:rsidRDefault="00256E5B"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73C3669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9C9810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1 56</w:t>
            </w:r>
            <w:r w:rsidR="005A2968">
              <w:rPr>
                <w:rFonts w:ascii="Arial" w:hAnsi="Arial" w:cs="Arial"/>
                <w:sz w:val="15"/>
                <w:szCs w:val="15"/>
              </w:rPr>
              <w:t>5</w:t>
            </w:r>
            <w:r w:rsidR="00E53700">
              <w:rPr>
                <w:rFonts w:ascii="Arial" w:hAnsi="Arial" w:cs="Arial"/>
                <w:sz w:val="15"/>
                <w:szCs w:val="15"/>
              </w:rPr>
              <w:t>,</w:t>
            </w:r>
            <w:r w:rsidR="005A2968">
              <w:rPr>
                <w:rFonts w:ascii="Arial" w:hAnsi="Arial" w:cs="Arial"/>
                <w:sz w:val="15"/>
                <w:szCs w:val="15"/>
              </w:rPr>
              <w:t xml:space="preserve"> </w:t>
            </w:r>
            <w:r w:rsidR="00E53700">
              <w:rPr>
                <w:rFonts w:ascii="Arial" w:hAnsi="Arial" w:cs="Arial"/>
                <w:sz w:val="15"/>
                <w:szCs w:val="15"/>
              </w:rPr>
              <w:t>5</w:t>
            </w:r>
            <w:r w:rsidR="005A2968">
              <w:rPr>
                <w:rFonts w:ascii="Arial" w:hAnsi="Arial" w:cs="Arial"/>
                <w:sz w:val="15"/>
                <w:szCs w:val="15"/>
              </w:rPr>
              <w:t>0</w:t>
            </w:r>
            <w:r>
              <w:rPr>
                <w:rFonts w:ascii="Arial" w:hAnsi="Arial" w:cs="Arial"/>
                <w:sz w:val="15"/>
                <w:szCs w:val="15"/>
              </w:rPr>
              <w:t xml:space="preserve"> </w:t>
            </w:r>
            <w:r w:rsidRPr="006B1EA8">
              <w:rPr>
                <w:rFonts w:ascii="Arial" w:hAnsi="Arial" w:cs="Arial"/>
                <w:sz w:val="15"/>
                <w:szCs w:val="15"/>
              </w:rPr>
              <w:t>$</w:t>
            </w:r>
          </w:p>
        </w:tc>
      </w:tr>
      <w:tr w:rsidR="00B81090"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B81090" w:rsidRPr="006E6133" w:rsidRDefault="00B81090" w:rsidP="00C11C7B">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70466E7E"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56</w:t>
            </w:r>
            <w:r w:rsidR="005A2968">
              <w:rPr>
                <w:rFonts w:ascii="Arial" w:hAnsi="Arial" w:cs="Arial"/>
                <w:sz w:val="15"/>
                <w:szCs w:val="15"/>
              </w:rPr>
              <w:t xml:space="preserve">4 </w:t>
            </w:r>
            <w:r w:rsidRPr="006B1EA8">
              <w:rPr>
                <w:rFonts w:ascii="Arial" w:hAnsi="Arial" w:cs="Arial"/>
                <w:sz w:val="15"/>
                <w:szCs w:val="15"/>
              </w:rPr>
              <w:t>$</w:t>
            </w:r>
          </w:p>
        </w:tc>
        <w:tc>
          <w:tcPr>
            <w:tcW w:w="1158" w:type="dxa"/>
          </w:tcPr>
          <w:p w14:paraId="321168A1" w14:textId="5EDA6E25"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62</w:t>
            </w:r>
            <w:r w:rsidR="005A2968">
              <w:rPr>
                <w:rFonts w:ascii="Arial" w:hAnsi="Arial" w:cs="Arial"/>
                <w:sz w:val="15"/>
                <w:szCs w:val="15"/>
              </w:rPr>
              <w:t>6,50</w:t>
            </w:r>
            <w:r w:rsidR="00234FFF">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FF8EBF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70</w:t>
            </w:r>
            <w:r w:rsidR="005A2968">
              <w:rPr>
                <w:rFonts w:ascii="Arial" w:hAnsi="Arial" w:cs="Arial"/>
                <w:sz w:val="15"/>
                <w:szCs w:val="15"/>
              </w:rPr>
              <w:t>4</w:t>
            </w:r>
            <w:r w:rsidR="006611F5">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013E751"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c>
          <w:tcPr>
            <w:tcW w:w="1159" w:type="dxa"/>
          </w:tcPr>
          <w:p w14:paraId="194E03D7" w14:textId="14F6E5E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599</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31441013" w14:textId="3F7B8C71"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665,50</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1A4305E6" w14:textId="3E9801D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49</w:t>
            </w:r>
            <w:r w:rsidR="005A2968">
              <w:rPr>
                <w:rFonts w:ascii="Arial" w:hAnsi="Arial" w:cs="Arial"/>
                <w:sz w:val="15"/>
                <w:szCs w:val="15"/>
              </w:rPr>
              <w:t xml:space="preserve">3 </w:t>
            </w:r>
            <w:r w:rsidRPr="006B1EA8">
              <w:rPr>
                <w:rFonts w:ascii="Arial" w:hAnsi="Arial" w:cs="Arial"/>
                <w:sz w:val="15"/>
                <w:szCs w:val="15"/>
              </w:rPr>
              <w:t>$</w:t>
            </w:r>
          </w:p>
        </w:tc>
        <w:tc>
          <w:tcPr>
            <w:tcW w:w="1159" w:type="dxa"/>
          </w:tcPr>
          <w:p w14:paraId="18461030" w14:textId="7960D8FA"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54</w:t>
            </w:r>
            <w:r w:rsidR="005A2968">
              <w:rPr>
                <w:rFonts w:ascii="Arial" w:hAnsi="Arial" w:cs="Arial"/>
                <w:sz w:val="15"/>
                <w:szCs w:val="15"/>
              </w:rPr>
              <w:t xml:space="preserve">8 </w:t>
            </w:r>
            <w:r w:rsidRPr="006B1EA8">
              <w:rPr>
                <w:rFonts w:ascii="Arial" w:hAnsi="Arial" w:cs="Arial"/>
                <w:sz w:val="15"/>
                <w:szCs w:val="15"/>
              </w:rPr>
              <w:t>$</w:t>
            </w:r>
          </w:p>
        </w:tc>
        <w:tc>
          <w:tcPr>
            <w:tcW w:w="1426" w:type="dxa"/>
            <w:noWrap/>
            <w:tcMar>
              <w:top w:w="0" w:type="dxa"/>
              <w:left w:w="57" w:type="dxa"/>
              <w:right w:w="57" w:type="dxa"/>
            </w:tcMar>
          </w:tcPr>
          <w:p w14:paraId="5A29B027" w14:textId="2FE07B11" w:rsidR="00B81090" w:rsidRPr="006B1EA8" w:rsidRDefault="00B81090"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3C44F3A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70</w:t>
            </w:r>
            <w:r w:rsidR="005A2968">
              <w:rPr>
                <w:rFonts w:ascii="Arial" w:hAnsi="Arial" w:cs="Arial"/>
                <w:sz w:val="15"/>
                <w:szCs w:val="15"/>
              </w:rPr>
              <w:t>4</w:t>
            </w:r>
            <w:r w:rsidR="00E53700">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4426CC18"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9312D5">
              <w:rPr>
                <w:rFonts w:ascii="Arial" w:hAnsi="Arial" w:cs="Arial"/>
                <w:sz w:val="15"/>
                <w:szCs w:val="15"/>
              </w:rPr>
            </w:r>
            <w:r w:rsidR="009312D5">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312D5">
              <w:rPr>
                <w:sz w:val="18"/>
                <w:szCs w:val="18"/>
                <w:lang w:val="fr-FR"/>
              </w:rPr>
            </w:r>
            <w:r w:rsidR="009312D5">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9312D5">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9312D5">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0E847" w14:textId="77777777" w:rsidR="00905A2B" w:rsidRDefault="00905A2B" w:rsidP="00F56C29">
      <w:r>
        <w:separator/>
      </w:r>
    </w:p>
  </w:endnote>
  <w:endnote w:type="continuationSeparator" w:id="0">
    <w:p w14:paraId="58A51874" w14:textId="77777777" w:rsidR="00905A2B" w:rsidRDefault="00905A2B"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48B3" w14:textId="77777777" w:rsidR="00905A2B" w:rsidRDefault="00905A2B" w:rsidP="00F56C29">
      <w:r>
        <w:separator/>
      </w:r>
    </w:p>
  </w:footnote>
  <w:footnote w:type="continuationSeparator" w:id="0">
    <w:p w14:paraId="553BBF3C" w14:textId="77777777" w:rsidR="00905A2B" w:rsidRDefault="00905A2B"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POBWZEk1ZhWvxsJyMeJiMYqZ4ek=" w:salt="/3ZfN+zQfh2LqS5onMHWX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7EC"/>
    <w:rsid w:val="000F6CC3"/>
    <w:rsid w:val="00100692"/>
    <w:rsid w:val="00100DF8"/>
    <w:rsid w:val="00106F25"/>
    <w:rsid w:val="00110A5B"/>
    <w:rsid w:val="00112CA3"/>
    <w:rsid w:val="00115EC6"/>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4551"/>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A2B"/>
    <w:rsid w:val="00910EB5"/>
    <w:rsid w:val="00915C5A"/>
    <w:rsid w:val="0091600B"/>
    <w:rsid w:val="0091699D"/>
    <w:rsid w:val="0092372C"/>
    <w:rsid w:val="00925328"/>
    <w:rsid w:val="009312D5"/>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30827"/>
    <w:rsid w:val="00C53006"/>
    <w:rsid w:val="00C56F08"/>
    <w:rsid w:val="00C625E4"/>
    <w:rsid w:val="00C67251"/>
    <w:rsid w:val="00C703F3"/>
    <w:rsid w:val="00C70972"/>
    <w:rsid w:val="00C746F7"/>
    <w:rsid w:val="00C7565D"/>
    <w:rsid w:val="00C8351F"/>
    <w:rsid w:val="00C91128"/>
    <w:rsid w:val="00C97A62"/>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B820-B17F-40B9-94F3-69632EC7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Tatiana Wangler</cp:lastModifiedBy>
  <cp:revision>3</cp:revision>
  <dcterms:created xsi:type="dcterms:W3CDTF">2018-10-31T19:53:00Z</dcterms:created>
  <dcterms:modified xsi:type="dcterms:W3CDTF">2018-10-31T20:15:00Z</dcterms:modified>
</cp:coreProperties>
</file>